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6A" w:rsidRPr="00D61A7D" w:rsidRDefault="00F2376A" w:rsidP="00F2376A">
      <w:pPr>
        <w:pBdr>
          <w:top w:val="double" w:sz="12" w:space="12" w:color="6C6C6C"/>
          <w:bottom w:val="single" w:sz="8" w:space="12" w:color="6C6C6C"/>
        </w:pBd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61A7D">
        <w:rPr>
          <w:rFonts w:ascii="Arial" w:eastAsia="Times New Roman" w:hAnsi="Arial" w:cs="Arial"/>
          <w:sz w:val="24"/>
          <w:szCs w:val="24"/>
          <w:lang w:eastAsia="ru-RU"/>
        </w:rPr>
        <w:t>Как отличить трудовой договор от договора подряда</w:t>
      </w:r>
    </w:p>
    <w:p w:rsidR="00F2376A" w:rsidRPr="00D61A7D" w:rsidRDefault="00F2376A" w:rsidP="00F2376A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61A7D">
        <w:rPr>
          <w:rFonts w:ascii="Tahoma" w:eastAsia="Times New Roman" w:hAnsi="Tahoma" w:cs="Tahoma"/>
          <w:sz w:val="24"/>
          <w:szCs w:val="24"/>
          <w:lang w:eastAsia="ru-RU"/>
        </w:rPr>
        <w:t>Многие трудоспособные граждане, поступая на работу, как</w:t>
      </w:r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организации, так и к физическим лицам, зачастую не придают значения каким образом их трудовые отношения будут оформлены работодателем.</w:t>
      </w:r>
    </w:p>
    <w:p w:rsidR="00F2376A" w:rsidRPr="00D61A7D" w:rsidRDefault="00F2376A" w:rsidP="00F2376A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Вместе с тем, важно знать и отличать, когда необходимо заключать гражданско-правовой договор, а когда требуется заключение трудового договора.</w:t>
      </w:r>
    </w:p>
    <w:p w:rsidR="00F2376A" w:rsidRPr="00D61A7D" w:rsidRDefault="00F2376A" w:rsidP="00F2376A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Верховный суд Российской Федерации в своем определении от 25.09.2017 № 66КГ-17-10 назвал отличительные признаки, которые помогут решить, какой договор необходимо заключить с физическим лицом для выполнения работы, а также отстоять свою позицию в случае возникновения спора.</w:t>
      </w:r>
    </w:p>
    <w:p w:rsidR="00F2376A" w:rsidRPr="00D61A7D" w:rsidRDefault="00F2376A" w:rsidP="00F2376A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Так, по трудовому договору работник обязуется выполнять определенную трудовую функцию, включается в состав персонала, подчиняется режиму труда, работает под контролем и руководством работодателя, не несет риска, связанного с трудом.</w:t>
      </w:r>
    </w:p>
    <w:p w:rsidR="00F2376A" w:rsidRPr="00D61A7D" w:rsidRDefault="00F2376A" w:rsidP="00F2376A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Целью же договора подряда является получение конкретного результата заказчиков, а не выполнение работы как таковой.</w:t>
      </w:r>
    </w:p>
    <w:p w:rsidR="00F2376A" w:rsidRPr="00D61A7D" w:rsidRDefault="00F2376A" w:rsidP="00F2376A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этом подрядчик (лицо, которое выполняет работу по договору подряда для заказчика) остается самостоятельным хозяйствующим субъектом и действует на свой риск (значит ему никто не оплатит больничный, отпуск, не произведет за него отчисления по обязательному медицинскому страхованию и в пенсионный фонд, т.е. он не получит все то, что гарантируется работнику при заключении трудового договора).</w:t>
      </w:r>
    </w:p>
    <w:p w:rsidR="00F2376A" w:rsidRPr="00D61A7D" w:rsidRDefault="00F2376A" w:rsidP="00F2376A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работодатель по каким-то причинам вместо трудового договора заключил с работником гражданско-правовой договор, который на самом деле регулирует трудовые отношения, его можно признать трудовым в порядке ст.19.1 Трудового Кодекса Российской Федерации.</w:t>
      </w:r>
    </w:p>
    <w:p w:rsidR="00F2376A" w:rsidRPr="00D61A7D" w:rsidRDefault="00F2376A" w:rsidP="00F2376A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За «подмену» трудового договора работодателю по ч. 4 ст. 5.27 </w:t>
      </w:r>
      <w:proofErr w:type="spellStart"/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КоАП</w:t>
      </w:r>
      <w:proofErr w:type="spellEnd"/>
      <w:r w:rsidRPr="00D61A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РФ грозит штраф. Для должностных лиц он может достигать 20 тыс. руб., для юридических - 100 тыс. руб.</w:t>
      </w:r>
    </w:p>
    <w:p w:rsidR="000826CA" w:rsidRDefault="000826CA"/>
    <w:sectPr w:rsidR="000826CA" w:rsidSect="0008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2376A"/>
    <w:rsid w:val="000826CA"/>
    <w:rsid w:val="00F2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2017-12-22T08:39:00Z</dcterms:created>
  <dcterms:modified xsi:type="dcterms:W3CDTF">2017-12-22T08:40:00Z</dcterms:modified>
</cp:coreProperties>
</file>