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880259" w:rsidRPr="003C6025" w:rsidTr="00C67962">
        <w:tc>
          <w:tcPr>
            <w:tcW w:w="4219" w:type="dxa"/>
            <w:shd w:val="clear" w:color="auto" w:fill="auto"/>
          </w:tcPr>
          <w:p w:rsidR="00880259" w:rsidRPr="003C6025" w:rsidRDefault="00880259" w:rsidP="00C679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Принято Советом </w:t>
            </w:r>
            <w:r w:rsidR="00DF2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Сардекбаш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 Кукморского муниципального   район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02.07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(протокол №</w:t>
            </w:r>
            <w:r w:rsidR="00DF2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7.2018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259" w:rsidRPr="00880259" w:rsidRDefault="00E3260C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______________</w:t>
            </w:r>
            <w:r w:rsidR="00DF2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И.М.Набиев</w:t>
            </w:r>
          </w:p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Решение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2E2E">
        <w:rPr>
          <w:rFonts w:ascii="Times New Roman" w:hAnsi="Times New Roman" w:cs="Times New Roman"/>
          <w:sz w:val="28"/>
          <w:szCs w:val="28"/>
        </w:rPr>
        <w:t>Сардекбаш</w:t>
      </w:r>
      <w:r w:rsidR="00E3260C">
        <w:rPr>
          <w:rFonts w:ascii="Times New Roman" w:hAnsi="Times New Roman" w:cs="Times New Roman"/>
          <w:sz w:val="28"/>
          <w:szCs w:val="28"/>
        </w:rPr>
        <w:t>ского</w:t>
      </w:r>
      <w:r w:rsidRPr="00880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880259" w:rsidRDefault="00DF2E2E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Сардекбаш</w:t>
      </w:r>
      <w:r w:rsidR="00E3260C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59" w:rsidRPr="008802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0259">
        <w:rPr>
          <w:rFonts w:ascii="Times New Roman" w:hAnsi="Times New Roman" w:cs="Times New Roman"/>
          <w:sz w:val="28"/>
          <w:szCs w:val="28"/>
        </w:rPr>
        <w:t>укморского муниципального района Республики Татарстан»</w:t>
      </w:r>
    </w:p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 w:rsidR="00DF2E2E">
        <w:rPr>
          <w:rFonts w:ascii="Times New Roman" w:hAnsi="Times New Roman"/>
          <w:bCs/>
          <w:sz w:val="28"/>
          <w:szCs w:val="28"/>
        </w:rPr>
        <w:t>Сардекбаш</w:t>
      </w:r>
      <w:r w:rsidR="00E3260C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DF2E2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DF2E2E">
        <w:rPr>
          <w:rFonts w:ascii="Times New Roman" w:hAnsi="Times New Roman" w:cs="Times New Roman"/>
          <w:sz w:val="28"/>
          <w:szCs w:val="28"/>
        </w:rPr>
        <w:t>Сардекбаш</w:t>
      </w:r>
      <w:r w:rsidR="00E3260C">
        <w:rPr>
          <w:rFonts w:ascii="Times New Roman" w:hAnsi="Times New Roman" w:cs="Times New Roman"/>
          <w:sz w:val="28"/>
          <w:szCs w:val="28"/>
        </w:rPr>
        <w:t>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объектов капитального</w:t>
      </w:r>
      <w:r w:rsidR="00DF2E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DF2E2E">
        <w:rPr>
          <w:rFonts w:ascii="Times New Roman" w:hAnsi="Times New Roman"/>
          <w:sz w:val="28"/>
          <w:szCs w:val="28"/>
        </w:rPr>
        <w:t>Сардекбаш</w:t>
      </w:r>
      <w:r>
        <w:rPr>
          <w:rFonts w:ascii="Times New Roman" w:hAnsi="Times New Roman"/>
          <w:sz w:val="28"/>
          <w:szCs w:val="28"/>
        </w:rPr>
        <w:t>ского</w:t>
      </w:r>
      <w:r w:rsidR="00DF2E2E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</w:t>
      </w:r>
      <w:r w:rsidR="00D76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="00D76E4C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 w:rsidR="00DF2E2E">
        <w:rPr>
          <w:rFonts w:ascii="Times New Roman" w:hAnsi="Times New Roman"/>
          <w:sz w:val="28"/>
          <w:szCs w:val="28"/>
        </w:rPr>
        <w:t xml:space="preserve"> Сардекбаш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r w:rsidRPr="0072606C">
        <w:rPr>
          <w:rFonts w:ascii="Times New Roman" w:hAnsi="Times New Roman" w:cs="Times New Roman"/>
          <w:sz w:val="28"/>
          <w:szCs w:val="28"/>
        </w:rPr>
        <w:lastRenderedPageBreak/>
        <w:t>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DF2E2E">
        <w:rPr>
          <w:rFonts w:ascii="Times New Roman" w:hAnsi="Times New Roman"/>
          <w:sz w:val="28"/>
          <w:szCs w:val="28"/>
        </w:rPr>
        <w:t>Сардекбаш</w:t>
      </w:r>
      <w:r>
        <w:rPr>
          <w:rFonts w:ascii="Times New Roman" w:hAnsi="Times New Roman"/>
          <w:sz w:val="28"/>
          <w:szCs w:val="28"/>
        </w:rPr>
        <w:t>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DF2E2E">
        <w:rPr>
          <w:rFonts w:ascii="Times New Roman" w:hAnsi="Times New Roman" w:cs="Times New Roman"/>
          <w:sz w:val="28"/>
          <w:szCs w:val="28"/>
        </w:rPr>
        <w:t>И.М.Набиев</w:t>
      </w:r>
    </w:p>
    <w:sectPr w:rsidR="0007650D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5E" w:rsidRDefault="006B495E" w:rsidP="00880259">
      <w:pPr>
        <w:spacing w:after="0" w:line="240" w:lineRule="auto"/>
      </w:pPr>
      <w:r>
        <w:separator/>
      </w:r>
    </w:p>
  </w:endnote>
  <w:endnote w:type="continuationSeparator" w:id="1">
    <w:p w:rsidR="006B495E" w:rsidRDefault="006B495E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3D0F32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D76E4C">
          <w:rPr>
            <w:noProof/>
          </w:rPr>
          <w:t>8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5E" w:rsidRDefault="006B495E" w:rsidP="00880259">
      <w:pPr>
        <w:spacing w:after="0" w:line="240" w:lineRule="auto"/>
      </w:pPr>
      <w:r>
        <w:separator/>
      </w:r>
    </w:p>
  </w:footnote>
  <w:footnote w:type="continuationSeparator" w:id="1">
    <w:p w:rsidR="006B495E" w:rsidRDefault="006B495E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D0F32"/>
    <w:rsid w:val="004836BA"/>
    <w:rsid w:val="0052699F"/>
    <w:rsid w:val="00572AA4"/>
    <w:rsid w:val="005B5146"/>
    <w:rsid w:val="005C18C7"/>
    <w:rsid w:val="005D79BD"/>
    <w:rsid w:val="005E14E3"/>
    <w:rsid w:val="006A0810"/>
    <w:rsid w:val="006B495E"/>
    <w:rsid w:val="0072606C"/>
    <w:rsid w:val="00753666"/>
    <w:rsid w:val="007B3834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A03EA7"/>
    <w:rsid w:val="00A0698A"/>
    <w:rsid w:val="00A5475C"/>
    <w:rsid w:val="00A739E3"/>
    <w:rsid w:val="00A91DA1"/>
    <w:rsid w:val="00A94A69"/>
    <w:rsid w:val="00B206DE"/>
    <w:rsid w:val="00B94103"/>
    <w:rsid w:val="00BE543A"/>
    <w:rsid w:val="00C81FC9"/>
    <w:rsid w:val="00CE452D"/>
    <w:rsid w:val="00D211CD"/>
    <w:rsid w:val="00D50311"/>
    <w:rsid w:val="00D76E4C"/>
    <w:rsid w:val="00D8364C"/>
    <w:rsid w:val="00DA5518"/>
    <w:rsid w:val="00DD579A"/>
    <w:rsid w:val="00DE13B2"/>
    <w:rsid w:val="00DF2E2E"/>
    <w:rsid w:val="00E3260C"/>
    <w:rsid w:val="00E45F7E"/>
    <w:rsid w:val="00ED7DD9"/>
    <w:rsid w:val="00EE1E5C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C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Сардекбаш</cp:lastModifiedBy>
  <cp:revision>5</cp:revision>
  <cp:lastPrinted>2018-06-27T12:45:00Z</cp:lastPrinted>
  <dcterms:created xsi:type="dcterms:W3CDTF">2018-07-05T07:19:00Z</dcterms:created>
  <dcterms:modified xsi:type="dcterms:W3CDTF">2018-07-09T12:04:00Z</dcterms:modified>
</cp:coreProperties>
</file>