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D2B8C">
              <w:rPr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возложении на избирательную комиссию муниципального образования </w:t>
            </w:r>
            <w:proofErr w:type="spellStart"/>
            <w:r w:rsidR="00DD2B8C">
              <w:rPr>
                <w:b/>
                <w:sz w:val="28"/>
                <w:szCs w:val="28"/>
              </w:rPr>
              <w:t>Ошторма-Юмьинское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proofErr w:type="spellStart"/>
            <w:r w:rsidR="00DD2B8C">
              <w:rPr>
                <w:b/>
                <w:sz w:val="28"/>
                <w:szCs w:val="28"/>
              </w:rPr>
              <w:t>Ошторма-Юмьинского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DD2B8C">
              <w:rPr>
                <w:b/>
                <w:sz w:val="28"/>
                <w:szCs w:val="28"/>
              </w:rPr>
              <w:t>Садовому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</w:t>
            </w:r>
            <w:r w:rsidR="00DD2B8C">
              <w:rPr>
                <w:b/>
                <w:sz w:val="28"/>
                <w:szCs w:val="28"/>
              </w:rPr>
              <w:t>№8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абзацем первым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 xml:space="preserve">от 14 апреля 2015 года №57/608 «О возложении полномочий избирательных комиссий </w:t>
      </w:r>
      <w:proofErr w:type="gramStart"/>
      <w:r w:rsidR="00A10A5C" w:rsidRPr="00A10A5C">
        <w:rPr>
          <w:sz w:val="28"/>
          <w:szCs w:val="28"/>
        </w:rPr>
        <w:t>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поселение», «</w:t>
      </w:r>
      <w:proofErr w:type="spell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Олуязское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proofErr w:type="spellStart"/>
      <w:r w:rsidR="00DD2B8C">
        <w:rPr>
          <w:sz w:val="28"/>
          <w:szCs w:val="28"/>
        </w:rPr>
        <w:t>Ошторма-Юмьинское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депутатов</w:t>
      </w:r>
      <w:r>
        <w:rPr>
          <w:sz w:val="28"/>
          <w:szCs w:val="28"/>
        </w:rPr>
        <w:t xml:space="preserve"> Совета </w:t>
      </w:r>
      <w:proofErr w:type="spellStart"/>
      <w:r w:rsidR="00DD2B8C">
        <w:rPr>
          <w:sz w:val="28"/>
          <w:szCs w:val="28"/>
        </w:rPr>
        <w:t>Ошторма-Юмьинского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DD2B8C">
        <w:rPr>
          <w:sz w:val="28"/>
          <w:szCs w:val="28"/>
        </w:rPr>
        <w:t>Садовому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 xml:space="preserve">ому избирательному округу </w:t>
      </w:r>
      <w:r w:rsidR="00DD2B8C">
        <w:rPr>
          <w:sz w:val="28"/>
          <w:szCs w:val="28"/>
        </w:rPr>
        <w:t>№8</w:t>
      </w:r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39" w:rsidRDefault="00053239" w:rsidP="00CE7DCD">
      <w:r>
        <w:separator/>
      </w:r>
    </w:p>
  </w:endnote>
  <w:endnote w:type="continuationSeparator" w:id="0">
    <w:p w:rsidR="00053239" w:rsidRDefault="00053239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39" w:rsidRDefault="00053239" w:rsidP="00CE7DCD">
      <w:r>
        <w:separator/>
      </w:r>
    </w:p>
  </w:footnote>
  <w:footnote w:type="continuationSeparator" w:id="0">
    <w:p w:rsidR="00053239" w:rsidRDefault="00053239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53239"/>
    <w:rsid w:val="000A19FC"/>
    <w:rsid w:val="000F4A9F"/>
    <w:rsid w:val="001A58D3"/>
    <w:rsid w:val="001F2081"/>
    <w:rsid w:val="00201D5B"/>
    <w:rsid w:val="0027108A"/>
    <w:rsid w:val="002A069D"/>
    <w:rsid w:val="002E74A3"/>
    <w:rsid w:val="003F2CF3"/>
    <w:rsid w:val="0042779E"/>
    <w:rsid w:val="004375FE"/>
    <w:rsid w:val="0044373A"/>
    <w:rsid w:val="00477407"/>
    <w:rsid w:val="004C6493"/>
    <w:rsid w:val="005A137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5C43"/>
    <w:rsid w:val="00AA02E9"/>
    <w:rsid w:val="00AF4624"/>
    <w:rsid w:val="00B159F3"/>
    <w:rsid w:val="00B31BCC"/>
    <w:rsid w:val="00B87A7E"/>
    <w:rsid w:val="00B87DF9"/>
    <w:rsid w:val="00C458B1"/>
    <w:rsid w:val="00C65CA3"/>
    <w:rsid w:val="00C93FA3"/>
    <w:rsid w:val="00CC1CB9"/>
    <w:rsid w:val="00CE7DCD"/>
    <w:rsid w:val="00D3181A"/>
    <w:rsid w:val="00DC313D"/>
    <w:rsid w:val="00DD2B8C"/>
    <w:rsid w:val="00DE3171"/>
    <w:rsid w:val="00E05AEA"/>
    <w:rsid w:val="00EE455E"/>
    <w:rsid w:val="00F51691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0C02-84BF-4DF3-9CF0-AAF286A5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2019-06-11T07:41:00Z</dcterms:created>
  <dcterms:modified xsi:type="dcterms:W3CDTF">2019-06-11T07:51:00Z</dcterms:modified>
</cp:coreProperties>
</file>