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65BA7">
        <w:rPr>
          <w:sz w:val="28"/>
          <w:szCs w:val="28"/>
          <w:lang w:val="ru-RU"/>
        </w:rPr>
        <w:t>просн</w:t>
      </w:r>
      <w:r>
        <w:rPr>
          <w:sz w:val="28"/>
          <w:szCs w:val="28"/>
          <w:lang w:val="ru-RU"/>
        </w:rPr>
        <w:t>ый</w:t>
      </w:r>
      <w:r w:rsidRPr="00565BA7">
        <w:rPr>
          <w:sz w:val="28"/>
          <w:szCs w:val="28"/>
          <w:lang w:val="ru-RU"/>
        </w:rPr>
        <w:t xml:space="preserve"> лист при проведении публичных консультаций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в рамках оценки регулирующего воздействия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проекта муниципального нормативного правового акта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6535E" w:rsidTr="00B863A7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:rsidR="00870B8F" w:rsidRPr="005240E7" w:rsidRDefault="006A0EEF" w:rsidP="009E3C75">
            <w:pPr>
              <w:rPr>
                <w:sz w:val="28"/>
                <w:szCs w:val="28"/>
                <w:lang w:val="ru-RU"/>
              </w:rPr>
            </w:pPr>
            <w:r w:rsidRPr="000604E3">
              <w:rPr>
                <w:sz w:val="28"/>
                <w:szCs w:val="28"/>
                <w:lang w:val="ru-RU"/>
              </w:rPr>
              <w:t xml:space="preserve">Перечень вопросов в рамках проведения публичного обсуждения проекта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решения </w:t>
            </w:r>
            <w:r w:rsidR="009E3C75">
              <w:rPr>
                <w:sz w:val="28"/>
                <w:szCs w:val="28"/>
                <w:lang w:val="ru-RU"/>
              </w:rPr>
              <w:t xml:space="preserve">Исполнительного комитета </w:t>
            </w:r>
            <w:proofErr w:type="spellStart"/>
            <w:r w:rsidR="009E3C75">
              <w:rPr>
                <w:sz w:val="28"/>
                <w:szCs w:val="28"/>
                <w:lang w:val="ru-RU"/>
              </w:rPr>
              <w:t>г.Кукмор</w:t>
            </w:r>
            <w:proofErr w:type="spellEnd"/>
            <w:r w:rsidR="009D7547" w:rsidRPr="000604E3">
              <w:rPr>
                <w:sz w:val="28"/>
                <w:szCs w:val="28"/>
                <w:lang w:val="ru-RU"/>
              </w:rPr>
              <w:t xml:space="preserve">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«</w:t>
            </w:r>
            <w:r w:rsidR="009E3C75" w:rsidRPr="009E3C75">
              <w:rPr>
                <w:sz w:val="28"/>
                <w:szCs w:val="28"/>
                <w:lang w:val="ru-RU"/>
              </w:rPr>
              <w:t>Об утверждении порядка проведения электронного аукциона на право заключения договора на размещение нестационарных торговых объектов на территории муниципального образования города Кукмор Кукморского муниципального района Республики Татарстан</w:t>
            </w:r>
            <w:r w:rsidR="00FB3C03" w:rsidRPr="000604E3">
              <w:rPr>
                <w:sz w:val="28"/>
                <w:szCs w:val="28"/>
                <w:lang w:val="ru-RU"/>
              </w:rPr>
              <w:t>»</w:t>
            </w:r>
            <w:r w:rsidR="00870B8F" w:rsidRPr="000604E3">
              <w:rPr>
                <w:sz w:val="28"/>
                <w:szCs w:val="28"/>
                <w:lang w:val="ru-RU"/>
              </w:rPr>
              <w:t>.</w:t>
            </w:r>
          </w:p>
          <w:p w:rsidR="006A0EEF" w:rsidRPr="005240E7" w:rsidRDefault="006A0EEF" w:rsidP="000B6DA6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16049" w:rsidRPr="005240E7">
              <w:rPr>
                <w:sz w:val="28"/>
                <w:szCs w:val="28"/>
              </w:rPr>
              <w:t>kukmorekonom</w:t>
            </w:r>
            <w:proofErr w:type="spellEnd"/>
            <w:r w:rsidR="00546CAA" w:rsidRPr="005240E7">
              <w:rPr>
                <w:sz w:val="28"/>
                <w:szCs w:val="28"/>
                <w:lang w:val="ru-RU"/>
              </w:rPr>
              <w:t>@</w:t>
            </w:r>
            <w:r w:rsidR="00816049" w:rsidRPr="005240E7">
              <w:rPr>
                <w:sz w:val="28"/>
                <w:szCs w:val="28"/>
              </w:rPr>
              <w:t>mail</w:t>
            </w:r>
            <w:r w:rsidR="00546CAA" w:rsidRPr="005240E7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546CAA" w:rsidRPr="005240E7">
              <w:rPr>
                <w:sz w:val="28"/>
                <w:szCs w:val="28"/>
              </w:rPr>
              <w:t>ru</w:t>
            </w:r>
            <w:proofErr w:type="spellEnd"/>
            <w:r w:rsidRPr="005240E7">
              <w:rPr>
                <w:sz w:val="28"/>
                <w:szCs w:val="28"/>
                <w:lang w:val="ru-RU"/>
              </w:rPr>
              <w:t xml:space="preserve"> не позднее «</w:t>
            </w:r>
            <w:r w:rsidR="0056535E">
              <w:rPr>
                <w:sz w:val="28"/>
                <w:szCs w:val="28"/>
                <w:lang w:val="ru-RU"/>
              </w:rPr>
              <w:t>10</w:t>
            </w:r>
            <w:r w:rsidRPr="005240E7">
              <w:rPr>
                <w:sz w:val="28"/>
                <w:szCs w:val="28"/>
                <w:lang w:val="ru-RU"/>
              </w:rPr>
              <w:t xml:space="preserve">» </w:t>
            </w:r>
            <w:r w:rsidR="0056535E">
              <w:rPr>
                <w:sz w:val="28"/>
                <w:szCs w:val="28"/>
                <w:lang w:val="ru-RU"/>
              </w:rPr>
              <w:t>мая</w:t>
            </w:r>
            <w:r w:rsidR="00546CAA" w:rsidRPr="005240E7">
              <w:rPr>
                <w:sz w:val="28"/>
                <w:szCs w:val="28"/>
                <w:lang w:val="ru-RU"/>
              </w:rPr>
              <w:t xml:space="preserve"> </w:t>
            </w:r>
            <w:r w:rsidRPr="005240E7">
              <w:rPr>
                <w:sz w:val="28"/>
                <w:szCs w:val="28"/>
                <w:lang w:val="ru-RU"/>
              </w:rPr>
              <w:t>20</w:t>
            </w:r>
            <w:r w:rsidR="00546CAA" w:rsidRPr="005240E7">
              <w:rPr>
                <w:sz w:val="28"/>
                <w:szCs w:val="28"/>
                <w:lang w:val="ru-RU"/>
              </w:rPr>
              <w:t>2</w:t>
            </w:r>
            <w:r w:rsidR="009E3C75">
              <w:rPr>
                <w:sz w:val="28"/>
                <w:szCs w:val="28"/>
                <w:lang w:val="ru-RU"/>
              </w:rPr>
              <w:t>3</w:t>
            </w:r>
            <w:r w:rsidR="00DC4479" w:rsidRPr="005240E7">
              <w:rPr>
                <w:sz w:val="28"/>
                <w:szCs w:val="28"/>
                <w:lang w:val="ru-RU"/>
              </w:rPr>
              <w:t xml:space="preserve"> года</w:t>
            </w:r>
            <w:r w:rsidR="006B32F2" w:rsidRPr="005240E7">
              <w:rPr>
                <w:sz w:val="28"/>
                <w:szCs w:val="28"/>
                <w:lang w:val="ru-RU"/>
              </w:rPr>
              <w:t>.</w:t>
            </w:r>
          </w:p>
          <w:p w:rsidR="00F1610F" w:rsidRPr="005240E7" w:rsidRDefault="009E180C" w:rsidP="00F1610F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Контактное лицо: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начальник отдела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территориального </w:t>
            </w:r>
            <w:proofErr w:type="gramStart"/>
            <w:r w:rsidR="00816049" w:rsidRPr="005240E7">
              <w:rPr>
                <w:sz w:val="28"/>
                <w:szCs w:val="28"/>
                <w:lang w:val="ru-RU"/>
              </w:rPr>
              <w:t xml:space="preserve">развития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Исполнительного</w:t>
            </w:r>
            <w:proofErr w:type="gramEnd"/>
            <w:r w:rsidR="002B6D14" w:rsidRPr="005240E7">
              <w:rPr>
                <w:sz w:val="28"/>
                <w:szCs w:val="28"/>
                <w:lang w:val="ru-RU"/>
              </w:rPr>
              <w:t xml:space="preserve"> комитета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 Кукморского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района </w:t>
            </w:r>
            <w:proofErr w:type="spellStart"/>
            <w:r w:rsidR="00816049" w:rsidRPr="005240E7">
              <w:rPr>
                <w:sz w:val="28"/>
                <w:szCs w:val="28"/>
                <w:lang w:val="ru-RU"/>
              </w:rPr>
              <w:t>Насибуллина</w:t>
            </w:r>
            <w:proofErr w:type="spellEnd"/>
            <w:r w:rsidR="00816049" w:rsidRPr="005240E7">
              <w:rPr>
                <w:sz w:val="28"/>
                <w:szCs w:val="28"/>
                <w:lang w:val="ru-RU"/>
              </w:rPr>
              <w:t xml:space="preserve">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</w:t>
            </w:r>
            <w:r w:rsidR="005240E7" w:rsidRPr="005240E7">
              <w:rPr>
                <w:sz w:val="28"/>
                <w:szCs w:val="28"/>
                <w:lang w:val="ru-RU"/>
              </w:rPr>
              <w:t>Талия Юсуповна</w:t>
            </w:r>
            <w:r w:rsidR="00816049" w:rsidRPr="005240E7">
              <w:rPr>
                <w:sz w:val="28"/>
                <w:szCs w:val="28"/>
                <w:lang w:val="ru-RU"/>
              </w:rPr>
              <w:t>(</w:t>
            </w:r>
            <w:r w:rsidR="002B6D14" w:rsidRPr="005240E7">
              <w:rPr>
                <w:sz w:val="28"/>
                <w:szCs w:val="28"/>
                <w:lang w:val="ru-RU"/>
              </w:rPr>
              <w:t>8</w:t>
            </w:r>
            <w:r w:rsidR="00816049" w:rsidRPr="005240E7">
              <w:rPr>
                <w:sz w:val="28"/>
                <w:szCs w:val="28"/>
                <w:lang w:val="ru-RU"/>
              </w:rPr>
              <w:t>4364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) </w:t>
            </w:r>
            <w:r w:rsidR="00816049" w:rsidRPr="005240E7">
              <w:rPr>
                <w:sz w:val="28"/>
                <w:szCs w:val="28"/>
                <w:lang w:val="ru-RU"/>
              </w:rPr>
              <w:t>2</w:t>
            </w:r>
            <w:r w:rsidR="002B6D14" w:rsidRPr="005240E7">
              <w:rPr>
                <w:sz w:val="28"/>
                <w:szCs w:val="28"/>
                <w:lang w:val="ru-RU"/>
              </w:rPr>
              <w:t>-</w:t>
            </w:r>
            <w:r w:rsidR="00816049" w:rsidRPr="005240E7">
              <w:rPr>
                <w:sz w:val="28"/>
                <w:szCs w:val="28"/>
                <w:lang w:val="ru-RU"/>
              </w:rPr>
              <w:t>69-70</w:t>
            </w:r>
          </w:p>
          <w:p w:rsidR="006A0EEF" w:rsidRPr="005240E7" w:rsidRDefault="006A0EEF" w:rsidP="006A0EE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Регулирующий орган не будет иметь возмо</w:t>
            </w:r>
            <w:bookmarkStart w:id="0" w:name="_GoBack"/>
            <w:bookmarkEnd w:id="0"/>
            <w:r w:rsidRPr="005240E7">
              <w:rPr>
                <w:sz w:val="28"/>
                <w:szCs w:val="28"/>
                <w:lang w:val="ru-RU"/>
              </w:rPr>
              <w:t>жности проанализировать позиции, направленные ему после указанного срока, а также направленные</w:t>
            </w:r>
            <w:r w:rsidRPr="005240E7">
              <w:rPr>
                <w:sz w:val="28"/>
                <w:szCs w:val="28"/>
                <w:lang w:val="ru-RU"/>
              </w:rPr>
              <w:br/>
              <w:t>не в соответствии с настоящей формой.</w:t>
            </w: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 w:firstLine="567"/>
        <w:jc w:val="center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Контактная информация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Наименование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Сферу деятельности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Ф.И.О. контактного лица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Номер контактного телефона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Адрес электронной почты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</w:t>
      </w:r>
    </w:p>
    <w:p w:rsidR="006A0EEF" w:rsidRPr="005240E7" w:rsidRDefault="006A0EEF" w:rsidP="006A0EEF">
      <w:pPr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240E7" w:rsidTr="00B863A7">
        <w:trPr>
          <w:trHeight w:val="397"/>
        </w:trPr>
        <w:tc>
          <w:tcPr>
            <w:tcW w:w="10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A0EEF" w:rsidRPr="005240E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6535E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A0EEF" w:rsidRPr="0056535E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6535E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9A6A7C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 w:rsidR="006A0EEF" w:rsidRPr="0056535E" w:rsidTr="00B863A7">
        <w:trPr>
          <w:trHeight w:val="86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6535E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A0EEF" w:rsidRPr="0056535E" w:rsidTr="00B863A7">
        <w:trPr>
          <w:trHeight w:val="218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то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как</w:t>
            </w:r>
            <w:proofErr w:type="spellEnd"/>
            <w:r w:rsidRPr="005240E7">
              <w:rPr>
                <w:sz w:val="28"/>
                <w:szCs w:val="28"/>
              </w:rPr>
              <w:t xml:space="preserve">? </w:t>
            </w:r>
            <w:proofErr w:type="spellStart"/>
            <w:r w:rsidRPr="005240E7">
              <w:rPr>
                <w:sz w:val="28"/>
                <w:szCs w:val="28"/>
              </w:rPr>
              <w:t>Приведите</w:t>
            </w:r>
            <w:proofErr w:type="spellEnd"/>
            <w:r w:rsidRPr="005240E7">
              <w:rPr>
                <w:sz w:val="28"/>
                <w:szCs w:val="28"/>
              </w:rPr>
              <w:t xml:space="preserve">, по </w:t>
            </w:r>
            <w:proofErr w:type="spellStart"/>
            <w:r w:rsidRPr="005240E7">
              <w:rPr>
                <w:sz w:val="28"/>
                <w:szCs w:val="28"/>
              </w:rPr>
              <w:t>возможности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количественные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оценки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1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56535E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6.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A0EEF" w:rsidRPr="0056535E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7.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укажите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такие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нормы</w:t>
            </w:r>
            <w:proofErr w:type="spellEnd"/>
            <w:r w:rsidRPr="005240E7">
              <w:rPr>
                <w:sz w:val="28"/>
                <w:szCs w:val="28"/>
              </w:rPr>
              <w:t xml:space="preserve"> и </w:t>
            </w:r>
            <w:proofErr w:type="spellStart"/>
            <w:r w:rsidRPr="005240E7">
              <w:rPr>
                <w:sz w:val="28"/>
                <w:szCs w:val="28"/>
              </w:rPr>
              <w:t>нормативные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правовые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акты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213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56535E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8.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920A2B" w:rsidRPr="005240E7">
              <w:rPr>
                <w:sz w:val="28"/>
                <w:szCs w:val="28"/>
                <w:lang w:val="ru-RU"/>
              </w:rPr>
              <w:t>поставщиков,</w:t>
            </w:r>
            <w:r w:rsidRPr="005240E7">
              <w:rPr>
                <w:sz w:val="28"/>
                <w:szCs w:val="28"/>
                <w:lang w:val="ru-RU"/>
              </w:rPr>
              <w:t xml:space="preserve"> или потребителей;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A0EEF" w:rsidRPr="0056535E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9.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</w:t>
            </w:r>
            <w:r w:rsidRPr="005240E7">
              <w:rPr>
                <w:sz w:val="28"/>
                <w:szCs w:val="28"/>
                <w:lang w:val="ru-RU"/>
              </w:rPr>
              <w:lastRenderedPageBreak/>
              <w:t xml:space="preserve">деятельности обязанностей, возникновения избыточных административных и иных ограничений и обязанностей? </w:t>
            </w:r>
            <w:r w:rsidRPr="005240E7">
              <w:rPr>
                <w:sz w:val="28"/>
                <w:szCs w:val="28"/>
              </w:rPr>
              <w:t>Приведите конкретные примеры.</w:t>
            </w: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56535E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10.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5240E7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 w:rsidR="006A0EEF" w:rsidRPr="0056535E" w:rsidTr="00B863A7">
        <w:trPr>
          <w:trHeight w:val="124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6535E" w:rsidTr="00B863A7">
        <w:trPr>
          <w:trHeight w:val="397"/>
        </w:trPr>
        <w:tc>
          <w:tcPr>
            <w:tcW w:w="10094" w:type="dxa"/>
            <w:shd w:val="clear" w:color="auto" w:fill="auto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A0EEF" w:rsidRPr="0056535E" w:rsidTr="00B863A7">
        <w:trPr>
          <w:trHeight w:val="155"/>
        </w:trPr>
        <w:tc>
          <w:tcPr>
            <w:tcW w:w="10094" w:type="dxa"/>
            <w:shd w:val="clear" w:color="auto" w:fill="auto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6535E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A0EEF" w:rsidRPr="0056535E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6535E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A0EEF" w:rsidRPr="0056535E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6535E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A0EEF" w:rsidRPr="0056535E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6535E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A0EEF" w:rsidRPr="0056535E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sectPr w:rsidR="006A0EEF" w:rsidRPr="0052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C"/>
    <w:rsid w:val="0004537C"/>
    <w:rsid w:val="000509FB"/>
    <w:rsid w:val="000604E3"/>
    <w:rsid w:val="000B6DA6"/>
    <w:rsid w:val="002B6D14"/>
    <w:rsid w:val="004D635C"/>
    <w:rsid w:val="005069B9"/>
    <w:rsid w:val="005240E7"/>
    <w:rsid w:val="005439E9"/>
    <w:rsid w:val="00546CAA"/>
    <w:rsid w:val="0056535E"/>
    <w:rsid w:val="00583314"/>
    <w:rsid w:val="00676348"/>
    <w:rsid w:val="006A0EEF"/>
    <w:rsid w:val="006B32F2"/>
    <w:rsid w:val="00773275"/>
    <w:rsid w:val="007A3F40"/>
    <w:rsid w:val="00816049"/>
    <w:rsid w:val="00870B8F"/>
    <w:rsid w:val="008B005D"/>
    <w:rsid w:val="008C3C75"/>
    <w:rsid w:val="008F7F51"/>
    <w:rsid w:val="00920A2B"/>
    <w:rsid w:val="009A6A7C"/>
    <w:rsid w:val="009D7547"/>
    <w:rsid w:val="009E180C"/>
    <w:rsid w:val="009E3C75"/>
    <w:rsid w:val="00A14373"/>
    <w:rsid w:val="00A547C1"/>
    <w:rsid w:val="00A921C2"/>
    <w:rsid w:val="00BB6F0E"/>
    <w:rsid w:val="00C16EA9"/>
    <w:rsid w:val="00C42C66"/>
    <w:rsid w:val="00D4685A"/>
    <w:rsid w:val="00DC4479"/>
    <w:rsid w:val="00F1610F"/>
    <w:rsid w:val="00FB3C03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0BDC"/>
  <w15:docId w15:val="{07772B39-848E-40BB-B20B-0CD76642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EF"/>
    <w:rPr>
      <w:color w:val="0563C1" w:themeColor="hyperlink"/>
      <w:u w:val="single"/>
    </w:rPr>
  </w:style>
  <w:style w:type="paragraph" w:customStyle="1" w:styleId="Default">
    <w:name w:val="Default"/>
    <w:rsid w:val="00543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B6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Алексеевна</dc:creator>
  <cp:lastModifiedBy>user2305</cp:lastModifiedBy>
  <cp:revision>11</cp:revision>
  <dcterms:created xsi:type="dcterms:W3CDTF">2021-09-22T06:39:00Z</dcterms:created>
  <dcterms:modified xsi:type="dcterms:W3CDTF">2023-04-28T08:46:00Z</dcterms:modified>
</cp:coreProperties>
</file>