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5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tabs>
          <w:tab w:val="clear" w:pos="708"/>
          <w:tab w:val="left" w:pos="55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tabs>
          <w:tab w:val="clear" w:pos="708"/>
          <w:tab w:val="left" w:pos="55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tabs>
          <w:tab w:val="clear" w:pos="708"/>
          <w:tab w:val="left" w:pos="552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Приложение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СТАТИСТИЧЕСКИЕ ДАННЫЕ*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 работе с обращениями граждан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 органах муниципального района, городского округа**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6"/>
        <w:tblW w:w="5000" w:type="pct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628"/>
        <w:gridCol w:w="952"/>
        <w:gridCol w:w="819"/>
        <w:gridCol w:w="801"/>
        <w:gridCol w:w="813"/>
        <w:gridCol w:w="909"/>
        <w:gridCol w:w="959"/>
        <w:gridCol w:w="565"/>
        <w:gridCol w:w="816"/>
        <w:gridCol w:w="810"/>
        <w:gridCol w:w="816"/>
        <w:gridCol w:w="807"/>
        <w:gridCol w:w="815"/>
        <w:gridCol w:w="807"/>
        <w:gridCol w:w="819"/>
        <w:gridCol w:w="792"/>
        <w:gridCol w:w="642"/>
      </w:tblGrid>
      <w:tr>
        <w:trPr/>
        <w:tc>
          <w:tcPr>
            <w:tcW w:w="1628" w:type="dxa"/>
            <w:vMerge w:val="restart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районов и городов</w:t>
            </w:r>
          </w:p>
        </w:tc>
        <w:tc>
          <w:tcPr>
            <w:tcW w:w="1771" w:type="dxa"/>
            <w:gridSpan w:val="2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Поступило всего обращений</w:t>
            </w:r>
          </w:p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(письменные и устные***</w:t>
            </w:r>
          </w:p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обращения)</w:t>
            </w:r>
          </w:p>
        </w:tc>
        <w:tc>
          <w:tcPr>
            <w:tcW w:w="1614" w:type="dxa"/>
            <w:gridSpan w:val="2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Поступило электронных обращений</w:t>
            </w:r>
          </w:p>
          <w:p>
            <w:pPr>
              <w:pStyle w:val="Normal"/>
              <w:widowControl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(Интернет-приемная, электронная почта)****</w:t>
            </w:r>
          </w:p>
        </w:tc>
        <w:tc>
          <w:tcPr>
            <w:tcW w:w="186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В т.ч. доложено руководству*****</w:t>
            </w:r>
          </w:p>
        </w:tc>
        <w:tc>
          <w:tcPr>
            <w:tcW w:w="1381" w:type="dxa"/>
            <w:gridSpan w:val="2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Взято на контроль</w:t>
            </w:r>
          </w:p>
        </w:tc>
        <w:tc>
          <w:tcPr>
            <w:tcW w:w="1626" w:type="dxa"/>
            <w:gridSpan w:val="2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Решено положительно</w:t>
            </w:r>
          </w:p>
        </w:tc>
        <w:tc>
          <w:tcPr>
            <w:tcW w:w="1622" w:type="dxa"/>
            <w:gridSpan w:val="2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Проверено с выездом на место</w:t>
            </w:r>
          </w:p>
        </w:tc>
        <w:tc>
          <w:tcPr>
            <w:tcW w:w="1626" w:type="dxa"/>
            <w:gridSpan w:val="2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Принято граждан на личном приеме</w:t>
            </w:r>
          </w:p>
        </w:tc>
        <w:tc>
          <w:tcPr>
            <w:tcW w:w="1434" w:type="dxa"/>
            <w:gridSpan w:val="2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В т.ч. руководством******</w:t>
            </w:r>
          </w:p>
        </w:tc>
      </w:tr>
      <w:tr>
        <w:trPr/>
        <w:tc>
          <w:tcPr>
            <w:tcW w:w="1628" w:type="dxa"/>
            <w:vMerge w:val="continue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2021</w:t>
            </w:r>
          </w:p>
        </w:tc>
        <w:tc>
          <w:tcPr>
            <w:tcW w:w="819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2021</w:t>
            </w:r>
          </w:p>
        </w:tc>
        <w:tc>
          <w:tcPr>
            <w:tcW w:w="81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2020</w:t>
            </w:r>
          </w:p>
        </w:tc>
        <w:tc>
          <w:tcPr>
            <w:tcW w:w="90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2021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2020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2021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2020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2021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2020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2021</w:t>
            </w:r>
          </w:p>
        </w:tc>
        <w:tc>
          <w:tcPr>
            <w:tcW w:w="815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2020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2021</w:t>
            </w:r>
          </w:p>
        </w:tc>
        <w:tc>
          <w:tcPr>
            <w:tcW w:w="819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2020</w:t>
            </w:r>
          </w:p>
        </w:tc>
        <w:tc>
          <w:tcPr>
            <w:tcW w:w="792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2021</w:t>
            </w:r>
          </w:p>
        </w:tc>
        <w:tc>
          <w:tcPr>
            <w:tcW w:w="642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ind w:right="-36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2020</w:t>
            </w:r>
          </w:p>
        </w:tc>
      </w:tr>
      <w:tr>
        <w:trPr/>
        <w:tc>
          <w:tcPr>
            <w:tcW w:w="1628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Кукморский</w:t>
            </w:r>
          </w:p>
        </w:tc>
        <w:tc>
          <w:tcPr>
            <w:tcW w:w="952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335</w:t>
            </w:r>
          </w:p>
        </w:tc>
        <w:tc>
          <w:tcPr>
            <w:tcW w:w="819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320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35</w:t>
            </w:r>
          </w:p>
        </w:tc>
        <w:tc>
          <w:tcPr>
            <w:tcW w:w="813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41</w:t>
            </w:r>
          </w:p>
        </w:tc>
        <w:tc>
          <w:tcPr>
            <w:tcW w:w="909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335</w:t>
            </w:r>
          </w:p>
        </w:tc>
        <w:tc>
          <w:tcPr>
            <w:tcW w:w="959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320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137</w:t>
            </w:r>
            <w:bookmarkStart w:id="0" w:name="_GoBack"/>
            <w:bookmarkEnd w:id="0"/>
          </w:p>
        </w:tc>
        <w:tc>
          <w:tcPr>
            <w:tcW w:w="81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810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132</w:t>
            </w:r>
          </w:p>
        </w:tc>
        <w:tc>
          <w:tcPr>
            <w:tcW w:w="816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85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23</w:t>
            </w:r>
          </w:p>
        </w:tc>
        <w:tc>
          <w:tcPr>
            <w:tcW w:w="815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64</w:t>
            </w:r>
          </w:p>
        </w:tc>
        <w:tc>
          <w:tcPr>
            <w:tcW w:w="807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147</w:t>
            </w:r>
          </w:p>
        </w:tc>
        <w:tc>
          <w:tcPr>
            <w:tcW w:w="819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120</w:t>
            </w:r>
          </w:p>
        </w:tc>
        <w:tc>
          <w:tcPr>
            <w:tcW w:w="792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120</w:t>
            </w:r>
          </w:p>
        </w:tc>
        <w:tc>
          <w:tcPr>
            <w:tcW w:w="642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92</w:t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Примечание: 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         Данные с 1.01.2021 г. по 30.06.2021 г.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**       Органы муниципального района, городского округа – Совет и исполнительный комитет муниципального образования.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***     Устные обращения: личный прием и телефонные звонки.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****</w:t>
      </w:r>
      <w:r>
        <w:rPr/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Электронные обращения входят в число письменных обращений.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***** Руководство – глава муниципального образования и руководитель исполнительного комитета муниципального образования.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sectPr>
      <w:type w:val="nextPage"/>
      <w:pgSz w:orient="landscape" w:w="16838" w:h="11906"/>
      <w:pgMar w:left="1134" w:right="1134" w:gutter="0" w:header="0" w:top="113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b36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51a2"/>
    <w:rPr>
      <w:color w:themeColor="hyperlink"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b36a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e700d4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d2c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00345-8E47-4C33-801F-D1B092EB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LibreOffice/7.6.7.2$Linux_X86_64 LibreOffice_project/60$Build-2</Application>
  <AppVersion>15.0000</AppVersion>
  <Pages>1</Pages>
  <Words>134</Words>
  <Characters>863</Characters>
  <CharactersWithSpaces>967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2021-07-05T06:26:00Z</dcterms:created>
  <dc:creator>Поликарпов С.</dc:creator>
  <dc:description/>
  <dc:language>ru-RU</dc:language>
  <cp:lastModifiedBy>user</cp:lastModifiedBy>
  <cp:lastPrinted>2020-05-19T12:55:00Z</cp:lastPrinted>
  <dcterms:modified xsi:type="dcterms:W3CDTF">2021-07-05T07:44:00Z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