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bidi w:val="0"/>
        <w:spacing w:before="0" w:after="0"/>
        <w:ind w:hanging="0" w:start="0" w:end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Маркировка рекламы: важность, правила и современный стандарт</w:t>
      </w:r>
    </w:p>
    <w:p>
      <w:pPr>
        <w:pStyle w:val="BodyText"/>
        <w:pBdr/>
        <w:bidi w:val="0"/>
        <w:spacing w:before="0" w:after="0"/>
        <w:ind w:hanging="0" w:start="0" w:end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Маркировка рекламы играет ключевую роль в защите прав потребителей и обеспечении прозрачности рынка. Она помогает потребителям отличить рекламные объявления от обычной информации, избежать манипуляций и недостоверных обещаний со стороны рекламодателей. Рассмотрим подробнее важность маркировки, действующие правила и современные стандарты.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Важность маркировки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Обеспечение прозрачности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Правильная маркировка позволяет потребителю сразу определить источник информации и оценить её объективность. Это особенно важно в условиях большого количества рекламных сообщений, которое окружает современного потребителя ежедневно.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Предупреждение манипуляций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Без четкого обозначения реклама может вводить пользователей в заблуждение относительно свойств товара или услуги. Четкая маркировка снижает риск манипуляции сознанием потребителей.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Повышение доверия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Четко обозначенная реклама повышает доверие к брендам и компаниям, демонстрируя открытость и уважение к потребителям.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Правила маркировки рекламы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России действуют строгие требования к маркировке рекламной продукции, установленные Федеральным законом № 38-ФЗ «О рекламе».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Обязательные элементы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Реклама должна содержать обязательные элементы, такие как название рекламируемого продукта, условия акции (если применимо), ограничения по возрасту и предупреждение о возможных побочных эффектах (для лекарственных препаратов).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Формы маркировки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Рекламные сообщения могут сопровождаться такими формулировками, как «реклама», «партнёрский материал», «спонсорский контент». Важно, чтобы эта информация была легко заметна и понятна потребителю.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Запреты и ограничения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 запрещает рекламу, вводящую в заблуждение, распространяемую скрытыми методами («нативная реклама») без соответствующего уведомления, а также использование изображений несовершеннолетних детей без согласия родителей.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Современный стандарт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Современный стандарт требует адаптивности к новым формам распространения информации, таким как социальные сети, мобильные приложения и онлайн-платформы. Сегодня маркетологи активно используют инструменты цифровой аналитики и персонализации рекламы, что создает новые вызовы для контроля и регулирования.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Адаптация к цифровым платформам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Цифровые технологии позволяют размещать рекламу на сайтах, мобильных приложениях и социальных сетях. Для каждого формата существуют специфические рекомендации по размещению и оформлению рекламных материалов.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Ответственность брендов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Компании несут ответственность за соблюдение норм закона о рекламе. Нарушение требований может привести к штрафам и негативному влиянию на репутацию бренда.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Заключение</w:t>
      </w:r>
    </w:p>
    <w:p>
      <w:pPr>
        <w:pStyle w:val="BodyText"/>
        <w:widowControl/>
        <w:pBdr/>
        <w:bidi w:val="0"/>
        <w:spacing w:before="0" w:after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Маркировка рекламы является важным инструментом защиты прав потребителей и поддержания честной конкуренции на рынке. Современные тенденции требуют постоянного обновления стандартов и адаптации к новым технологиям. Компании должны внимательно следить за изменениями в законодательстве и обеспечивать максимальную прозрачность своей маркетинговой активности.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2</Pages>
  <Words>355</Words>
  <Characters>2668</Characters>
  <CharactersWithSpaces>2998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2025-11-20T15:19:43Z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