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71" w:rsidRPr="0011465B" w:rsidRDefault="00657571" w:rsidP="00657571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11465B">
        <w:rPr>
          <w:rFonts w:ascii="Times New Roman" w:hAnsi="Times New Roman"/>
          <w:b w:val="0"/>
          <w:bCs w:val="0"/>
          <w:sz w:val="20"/>
          <w:szCs w:val="20"/>
        </w:rPr>
        <w:t>Отказ в предоставлении доступа к сведениям, составляющим врачебную тайну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bookmarkStart w:id="0" w:name="_GoBack"/>
      <w:bookmarkEnd w:id="0"/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В соответствии с требованиями</w:t>
      </w:r>
      <w:r w:rsidRPr="0011465B">
        <w:rPr>
          <w:rStyle w:val="apple-converted-space"/>
          <w:sz w:val="20"/>
          <w:szCs w:val="20"/>
        </w:rPr>
        <w:t> </w:t>
      </w:r>
      <w:hyperlink r:id="rId4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ч. 1</w:t>
        </w:r>
      </w:hyperlink>
      <w:r w:rsidRPr="0011465B">
        <w:rPr>
          <w:sz w:val="20"/>
          <w:szCs w:val="20"/>
        </w:rPr>
        <w:t>,</w:t>
      </w:r>
      <w:r w:rsidRPr="0011465B">
        <w:rPr>
          <w:rStyle w:val="apple-converted-space"/>
          <w:sz w:val="20"/>
          <w:szCs w:val="20"/>
        </w:rPr>
        <w:t> </w:t>
      </w:r>
      <w:hyperlink r:id="rId5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2 ст. 13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Федерального закона от 21.11.2011 № 323-ФЗ «Об основах охраны здоровья граждан в Российской Федерации» (далее - Федеральный закон)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обязанностей.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В силу</w:t>
      </w:r>
      <w:r w:rsidRPr="0011465B">
        <w:rPr>
          <w:rStyle w:val="apple-converted-space"/>
          <w:sz w:val="20"/>
          <w:szCs w:val="20"/>
        </w:rPr>
        <w:t> </w:t>
      </w:r>
      <w:hyperlink r:id="rId6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п. 4 ч. 1 ст. 79</w:t>
        </w:r>
      </w:hyperlink>
      <w:r w:rsidRPr="0011465B">
        <w:rPr>
          <w:sz w:val="20"/>
          <w:szCs w:val="20"/>
        </w:rPr>
        <w:t>,</w:t>
      </w:r>
      <w:r w:rsidRPr="0011465B">
        <w:rPr>
          <w:rStyle w:val="apple-converted-space"/>
          <w:sz w:val="20"/>
          <w:szCs w:val="20"/>
        </w:rPr>
        <w:t> </w:t>
      </w:r>
      <w:hyperlink r:id="rId7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ч. 3 ст. 13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Федерального закона медицинская организация обязана соблюдать врачебную тайну во всех случаях, пока гражданин или его законный представитель не дали письменное</w:t>
      </w:r>
      <w:r w:rsidRPr="0011465B">
        <w:rPr>
          <w:rStyle w:val="apple-converted-space"/>
          <w:sz w:val="20"/>
          <w:szCs w:val="20"/>
        </w:rPr>
        <w:t> </w:t>
      </w:r>
      <w:hyperlink r:id="rId8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согласие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на передачу этих сведений другим лицам.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Существуют исключения, при которых предоставление сведений, составляющих врачебную тайну, без согласия гражданина или его законного представителя допускается. К таким исключениям, согласно</w:t>
      </w:r>
      <w:r w:rsidRPr="0011465B">
        <w:rPr>
          <w:rStyle w:val="apple-converted-space"/>
          <w:sz w:val="20"/>
          <w:szCs w:val="20"/>
        </w:rPr>
        <w:t> </w:t>
      </w:r>
      <w:hyperlink r:id="rId9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ч. 4 ст. 13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Федерального закона, относятся: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обследование и лечение гражданина, который в результате своего состояния не способен выразить свою волю;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угроза распространения инфекционных заболеваний, массовых отравлений и поражений;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запросы органов дознания и следствия, суда, органов прокуратуры, органа уголовно-исполнительной системы в рамках осуществления их деятельности;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 xml:space="preserve">- контроль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</w:t>
      </w:r>
      <w:proofErr w:type="spellStart"/>
      <w:r w:rsidRPr="0011465B">
        <w:rPr>
          <w:sz w:val="20"/>
          <w:szCs w:val="20"/>
        </w:rPr>
        <w:t>психоактивные</w:t>
      </w:r>
      <w:proofErr w:type="spellEnd"/>
      <w:r w:rsidRPr="0011465B">
        <w:rPr>
          <w:sz w:val="20"/>
          <w:szCs w:val="20"/>
        </w:rPr>
        <w:t xml:space="preserve">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оказание медицинской помощи несовершеннолетнему - больному наркоманией для информирования одного из родителей или иного законного представителя;- информирование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 С 01.01.2017 также возможно будет разглашение сведений, составляющих врачебную тайну: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для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при расследовании несчастного случая на производстве и профессионального заболевания, несчастного случая с обучающимся во время нахождения в образовательной организации, несчастного случая с лицом, проходящим спортивную подготовку на определенных условиях;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РФ о персональных данных;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для учета и контроля в системе обязательного социального страхования;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- для контроля качества и безопасности медицинской деятельности. Речь идет о страховых медицинских организациях, фондах ОМС и органах управления здравоохранением.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Кроме того, при неблагоприятном прогнозе развития заболевания допускается разглашение врачебной тайны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 (</w:t>
      </w:r>
      <w:hyperlink r:id="rId10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ч. 3 ст. 22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Федерального закона).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>Частью</w:t>
      </w:r>
      <w:r w:rsidRPr="0011465B">
        <w:rPr>
          <w:rStyle w:val="apple-converted-space"/>
          <w:sz w:val="20"/>
          <w:szCs w:val="20"/>
        </w:rPr>
        <w:t> </w:t>
      </w:r>
      <w:hyperlink r:id="rId11" w:history="1">
        <w:r w:rsidRPr="0011465B">
          <w:rPr>
            <w:rStyle w:val="a4"/>
            <w:sz w:val="20"/>
            <w:szCs w:val="20"/>
            <w:bdr w:val="none" w:sz="0" w:space="0" w:color="auto" w:frame="1"/>
          </w:rPr>
          <w:t>5 ст. 67</w:t>
        </w:r>
      </w:hyperlink>
      <w:r w:rsidRPr="0011465B">
        <w:rPr>
          <w:rStyle w:val="apple-converted-space"/>
          <w:sz w:val="20"/>
          <w:szCs w:val="20"/>
        </w:rPr>
        <w:t> </w:t>
      </w:r>
      <w:r w:rsidRPr="0011465B">
        <w:rPr>
          <w:sz w:val="20"/>
          <w:szCs w:val="20"/>
        </w:rPr>
        <w:t>Федерального закона также установлена возможность разглашения врачебной тайны при выдаче заключения о причине смерти и диагнозе заболевания следующим лицам: 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- иным родственникам либо законному представителю умершего. </w:t>
      </w:r>
    </w:p>
    <w:p w:rsidR="00657571" w:rsidRPr="0011465B" w:rsidRDefault="00657571" w:rsidP="0065757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1465B">
        <w:rPr>
          <w:sz w:val="20"/>
          <w:szCs w:val="20"/>
        </w:rPr>
        <w:t xml:space="preserve"> Таким образом,  в целях получения полной информации  при  обращении гражданина в органы контроля в сфере здравоохранения, медицинские организации в интересах иных лиц по вопросам оказания им медицинской помощи, кроме случаев, указанных выше, когда согласие гражданина не требуется, к обращениям следует прикладывать письменное согласие лиц, в интересах которых направляется обращение,  в котором должна содержатся информация о согласии предоставления  конкретному лицу сведений, составляющих врачебную тайну </w:t>
      </w:r>
    </w:p>
    <w:p w:rsidR="00657571" w:rsidRDefault="00657571" w:rsidP="00657571">
      <w:pPr>
        <w:contextualSpacing/>
        <w:jc w:val="both"/>
      </w:pPr>
    </w:p>
    <w:p w:rsidR="00657571" w:rsidRPr="0011465B" w:rsidRDefault="00657571" w:rsidP="00657571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657571" w:rsidRDefault="00657571" w:rsidP="00657571">
      <w:pPr>
        <w:contextualSpacing/>
        <w:jc w:val="both"/>
      </w:pPr>
    </w:p>
    <w:p w:rsidR="00206E43" w:rsidRPr="00657571" w:rsidRDefault="00206E43" w:rsidP="00657571"/>
    <w:sectPr w:rsidR="00206E43" w:rsidRPr="0065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206E43"/>
    <w:rsid w:val="0027262D"/>
    <w:rsid w:val="00275A1D"/>
    <w:rsid w:val="002A6087"/>
    <w:rsid w:val="006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B274-E1AF-4DA6-8922-177161CF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5757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960F5EC950667AE751EDF5372E4CA360D287B6B7603A2C721CA3AF3Y6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5960F5EC950667AE7502DF5472E4CA320529736C7F5EA8CF78C638315CDBD756AD4F41488DF2EFF9Y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960F5EC950667AE7502DF5472E4CA320529736C7F5EA8CF78C638315CDBD756AD4F41488DF4E7F9Y7H" TargetMode="External"/><Relationship Id="rId11" Type="http://schemas.openxmlformats.org/officeDocument/2006/relationships/hyperlink" Target="consultantplus://offline/ref=445960F5EC950667AE7502DF5472E4CA320529736C7F5EA8CF78C638315CDBD756AD4F41488DF5E8F9Y4H" TargetMode="External"/><Relationship Id="rId5" Type="http://schemas.openxmlformats.org/officeDocument/2006/relationships/hyperlink" Target="consultantplus://offline/ref=445960F5EC950667AE7502DF5472E4CA320529736C7F5EA8CF78C638315CDBD756AD4F41488DF2EFF9Y5H" TargetMode="External"/><Relationship Id="rId10" Type="http://schemas.openxmlformats.org/officeDocument/2006/relationships/hyperlink" Target="consultantplus://offline/ref=445960F5EC950667AE7502DF5472E4CA320529736C7F5EA8CF78C638315CDBD756AD4F41488DF1E7F9Y6H" TargetMode="External"/><Relationship Id="rId4" Type="http://schemas.openxmlformats.org/officeDocument/2006/relationships/hyperlink" Target="consultantplus://offline/ref=445960F5EC950667AE7502DF5472E4CA320529736C7F5EA8CF78C638315CDBD756AD4F41488DF2EFF9Y2H" TargetMode="External"/><Relationship Id="rId9" Type="http://schemas.openxmlformats.org/officeDocument/2006/relationships/hyperlink" Target="consultantplus://offline/ref=445960F5EC950667AE7502DF5472E4CA320529736C7F5EA8CF78C638315CDBD756AD4F41488DF2EFF9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3</cp:revision>
  <dcterms:created xsi:type="dcterms:W3CDTF">2016-09-30T16:15:00Z</dcterms:created>
  <dcterms:modified xsi:type="dcterms:W3CDTF">2016-10-03T10:54:00Z</dcterms:modified>
</cp:coreProperties>
</file>