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6"/>
        <w:gridCol w:w="435"/>
        <w:gridCol w:w="1170"/>
        <w:gridCol w:w="379"/>
        <w:gridCol w:w="3979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Порядок осуществления муниципальным бюджетным учреждением полномочий органа местного самоуправления Кукморского муниципального района Республики Татарстан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утвержденный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 xml:space="preserve">06.12.2010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  <w:t xml:space="preserve"> 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Порядок осуществления муниципальным бюджетным учреждением полномочий органа местного самоуправления Кукморского муниципального района Республики Татарстан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утвержденный постановлением Руководителя Исполнительного комитета Кукморского муниципального района от 06.12.2010 № 91, следующее изменение: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2</w:t>
      </w:r>
      <w:r>
        <w:rPr>
          <w:sz w:val="28"/>
          <w:szCs w:val="28"/>
        </w:rPr>
        <w:t xml:space="preserve"> слова «размере или имеющие» заменить словами «размере и (или) имеющие»;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Application>LibreOffice/7.5.6.2$Linux_X86_64 LibreOffice_project/50$Build-2</Application>
  <AppVersion>15.0000</AppVersion>
  <Pages>2</Pages>
  <Words>163</Words>
  <Characters>1367</Characters>
  <CharactersWithSpaces>1525</CharactersWithSpaces>
  <Paragraphs>18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2025-11-24T14:11:27Z</dcterms:modified>
  <cp:revision>32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