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7"/>
        <w:gridCol w:w="434"/>
        <w:gridCol w:w="1171"/>
        <w:gridCol w:w="379"/>
        <w:gridCol w:w="3978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Татарстан, утвержденное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26.04.2017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350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33-ФЗ</w:t>
        <w:t xml:space="preserve"> «Об общих принципах организации местного самоуправления в единой системе публичной власти»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Татарстан, утвержденное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26.04.2017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350, </w:t>
      </w:r>
      <w:r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1.1</w:t>
      </w:r>
      <w:r>
        <w:rPr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«1.1. Настоящее положение определяет порядок проведения оценки регулирующего воздействия проектов муниципальных нормативных правовых актов Кукморского муниципального района Республики Татарстан (далее - проекты актов), экспертизы муниципальных нормативных правовых актов (далее нормативные правовые акты) в целях выявления в проекте акта, действующих нормативных правовых актах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</w:t>
      </w:r>
      <w:r>
        <w:rPr>
          <w:sz w:val="28"/>
          <w:szCs w:val="28"/>
          <w:shd w:fill="auto" w:val="clear"/>
        </w:rPr>
        <w:t xml:space="preserve">бюджета </w:t>
      </w:r>
      <w:r>
        <w:rPr>
          <w:sz w:val="28"/>
          <w:szCs w:val="28"/>
          <w:shd w:fill="auto" w:val="clear"/>
        </w:rPr>
        <w:t>Кукморского муниципального района Республики Татарстан.»;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Application>LibreOffice/7.5.6.2$Linux_X86_64 LibreOffice_project/50$Build-2</Application>
  <AppVersion>15.0000</AppVersion>
  <Pages>2</Pages>
  <Words>231</Words>
  <Characters>1932</Characters>
  <CharactersWithSpaces>2156</CharactersWithSpaces>
  <Paragraphs>19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2025-11-21T16:11:18Z</dcterms:modified>
  <cp:revision>30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